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BA" w:rsidRPr="005223BA" w:rsidRDefault="005223BA" w:rsidP="005223BA">
      <w:pPr>
        <w:pStyle w:val="ConsPlusTitle"/>
        <w:spacing w:line="276" w:lineRule="auto"/>
        <w:jc w:val="center"/>
        <w:rPr>
          <w:sz w:val="20"/>
          <w:szCs w:val="20"/>
        </w:rPr>
      </w:pPr>
    </w:p>
    <w:p w:rsidR="005223BA" w:rsidRPr="005223BA" w:rsidRDefault="005223BA" w:rsidP="005223BA">
      <w:pPr>
        <w:pStyle w:val="ConsPlusTitle"/>
        <w:spacing w:line="276" w:lineRule="auto"/>
        <w:jc w:val="center"/>
        <w:rPr>
          <w:sz w:val="20"/>
          <w:szCs w:val="20"/>
        </w:rPr>
      </w:pPr>
    </w:p>
    <w:p w:rsidR="005223BA" w:rsidRPr="005223BA" w:rsidRDefault="005223BA" w:rsidP="005223BA">
      <w:pPr>
        <w:pStyle w:val="ConsPlusTitle"/>
        <w:spacing w:line="276" w:lineRule="auto"/>
        <w:jc w:val="center"/>
        <w:rPr>
          <w:sz w:val="20"/>
          <w:szCs w:val="20"/>
        </w:rPr>
      </w:pPr>
    </w:p>
    <w:p w:rsidR="005223BA" w:rsidRPr="005223BA" w:rsidRDefault="005223BA" w:rsidP="005223BA">
      <w:pPr>
        <w:pStyle w:val="ConsPlusTitle"/>
        <w:spacing w:line="276" w:lineRule="auto"/>
        <w:jc w:val="center"/>
        <w:rPr>
          <w:sz w:val="20"/>
          <w:szCs w:val="20"/>
        </w:rPr>
      </w:pPr>
      <w:r w:rsidRPr="005223BA">
        <w:rPr>
          <w:sz w:val="20"/>
          <w:szCs w:val="20"/>
        </w:rPr>
        <w:t>МИНИСТЕРСТВО ЗДРАВООХРАНЕНИЯ РОССИЙСКОЙ ФЕДЕРАЦИИ</w:t>
      </w:r>
    </w:p>
    <w:p w:rsidR="005223BA" w:rsidRPr="005223BA" w:rsidRDefault="005223BA" w:rsidP="005223BA">
      <w:pPr>
        <w:pStyle w:val="ConsPlusTitle"/>
        <w:spacing w:line="276" w:lineRule="auto"/>
        <w:jc w:val="both"/>
        <w:rPr>
          <w:sz w:val="20"/>
          <w:szCs w:val="20"/>
        </w:rPr>
      </w:pPr>
    </w:p>
    <w:p w:rsidR="005223BA" w:rsidRPr="005223BA" w:rsidRDefault="005223BA" w:rsidP="005223BA">
      <w:pPr>
        <w:pStyle w:val="ConsPlusTitle"/>
        <w:spacing w:line="276" w:lineRule="auto"/>
        <w:jc w:val="center"/>
        <w:rPr>
          <w:sz w:val="20"/>
          <w:szCs w:val="20"/>
        </w:rPr>
      </w:pPr>
      <w:r w:rsidRPr="005223BA">
        <w:rPr>
          <w:sz w:val="20"/>
          <w:szCs w:val="20"/>
        </w:rPr>
        <w:t>ПИСЬМО</w:t>
      </w:r>
    </w:p>
    <w:p w:rsidR="005223BA" w:rsidRPr="005223BA" w:rsidRDefault="005223BA" w:rsidP="005223BA">
      <w:pPr>
        <w:pStyle w:val="ConsPlusTitle"/>
        <w:spacing w:line="276" w:lineRule="auto"/>
        <w:jc w:val="center"/>
        <w:rPr>
          <w:sz w:val="20"/>
          <w:szCs w:val="20"/>
        </w:rPr>
      </w:pPr>
      <w:bookmarkStart w:id="0" w:name="_Hlk528526899"/>
      <w:r w:rsidRPr="005223BA">
        <w:rPr>
          <w:sz w:val="20"/>
          <w:szCs w:val="20"/>
        </w:rPr>
        <w:t>от 5 октября 2018 г. № 14-3/2095930</w:t>
      </w:r>
      <w:bookmarkEnd w:id="0"/>
    </w:p>
    <w:p w:rsidR="005223BA" w:rsidRPr="005223BA" w:rsidRDefault="005223BA" w:rsidP="005223BA">
      <w:pPr>
        <w:pStyle w:val="ConsPlusNormal"/>
        <w:spacing w:line="276" w:lineRule="auto"/>
        <w:jc w:val="both"/>
        <w:rPr>
          <w:rFonts w:ascii="Arial" w:hAnsi="Arial" w:cs="Arial"/>
          <w:sz w:val="20"/>
          <w:szCs w:val="20"/>
        </w:rPr>
      </w:pP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В соответствии с Положением о Министерстве здравоохранения Российской Федерации, утвержденным постановлением Правительства Российской Федерации от 19.06.2012 № 608, Минздрав России наделен полномочием давать юридическим и физическим лицам разъяснения по вопросам, отнесенным к установленной сфере деятельности Министерства, только в части оказания государственных услуг и управления государственным имуществом.</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В этой связи нижеизложенное разъяснение отражает лишь мнение Департамента по поставленным вопросам.</w:t>
      </w:r>
    </w:p>
    <w:p w:rsidR="005223BA" w:rsidRPr="005223BA" w:rsidRDefault="005223BA" w:rsidP="005223BA">
      <w:pPr>
        <w:pStyle w:val="ConsPlusNormal"/>
        <w:spacing w:line="276" w:lineRule="auto"/>
        <w:ind w:firstLine="540"/>
        <w:jc w:val="both"/>
        <w:rPr>
          <w:rFonts w:ascii="Arial" w:hAnsi="Arial" w:cs="Arial"/>
          <w:sz w:val="20"/>
          <w:szCs w:val="20"/>
        </w:rPr>
      </w:pPr>
      <w:bookmarkStart w:id="1" w:name="_Hlk528526116"/>
      <w:r w:rsidRPr="005223BA">
        <w:rPr>
          <w:rFonts w:ascii="Arial" w:hAnsi="Arial" w:cs="Arial"/>
          <w:sz w:val="20"/>
          <w:szCs w:val="20"/>
        </w:rPr>
        <w:t xml:space="preserve">В соответствии со статьей 223 Трудового кодекса Российской Федерации работодателем организуются посты для оказания первой помощи, укомплектованные аптечками для оказания первой помощи. Состав аптечек для оказания первой помощи работникам установлен приказом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от 05.03.2011 № 169н "Об утверждении требований к комплектации изделиями медицинского назначения аптечек для оказания первой помощи работникам" (далее - приказ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169н). Лекарственные средства в состав аптечек для оказания первой помощи работникам не входят.</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В соответствии с пунктом 8.1.5.2 приложения к Европейскому соглашению о международной дорожной перевозке опасных грузов (ДОПОГ) от 30.09.1957 на транспортной единице должно перевозиться снаряжение, требуемое в случае всех знаков опасности, в том числе жидкость для промывания глаз. При этом в качестве жидкости для промывания глаз должна использоваться вода.</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 xml:space="preserve">Правила по охране труда при хранении, транспортировании и реализации нефтепродуктов, утвержденные приказом Минтруда России от 16.11.2015 № 873н,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Минтруда России от 16.11.2015 № 835н, Правила по охране труда при производстве цемента, утвержденные приказом Минтруда России от 16.11.2015 № 722н, Правила по охране труда при использовании отдельных видов химических веществ и материалов, утвержденные приказом Минтруда России от 19.04.2017 № 371н, Правила по охране труда на автомобильном транспорте, утвержденные приказом Минтруда России от 06.02.2018 № 59н, Правила по охране труда в сельском хозяйстве, утвержденные приказом Минтруда России от 25.02.2016 № 76н, принимались Минтрудом России без согласования с Минздравом России. В части организации оказания первой помощи, в том числе применения лекарственных средств для оказания первой помощи, указанные Правила противоречат Федеральному закону от 21.11.2011 № 323-ФЗ "Об основах охраны здоровья граждан в Российской Федерации" (далее - Федеральный закон № 323-ФЗ), приказу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 (далее - приказ Минздрава России № 477н) и приказу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169н. Лекарственные средства не должны входить в комплектацию поста для оказания первой помощи работникам.</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 xml:space="preserve">Статья 29 Федерального закона № 323-ФЗ устанавливает, что организация охраны здоровья граждан осуществляется в том числе путем организации оказания первой помощи, всех видов медицинской помощи. Термин "оказание первой доврачебной помощи", используемый в отдельных вышеперечисленных Правилах по охране труда, нелегитимен, так как противоречит Федеральному закону № 323-ФЗ. Такого вида помощи не существует. Вышеуказанные Правила по охране труда должны быть приведены в соответствие с действующим законодательством. До их приведения в соответствие в части организации оказания первой помощи необходимо руководствоваться Федеральным законом № 323-ФЗ, приказом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477н, приказом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169н.</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lastRenderedPageBreak/>
        <w:t xml:space="preserve">Согласно Правилам дорожного движения, утвержденным постановлением Правительства Российской Федерации от 23.10.1993 № 1090, запрещается эксплуатация транспортного средства без аптечки. Состав аптечки первой помощи (автомобильной) утвержден приказом </w:t>
      </w:r>
      <w:proofErr w:type="spellStart"/>
      <w:r w:rsidRPr="005223BA">
        <w:rPr>
          <w:rFonts w:ascii="Arial" w:hAnsi="Arial" w:cs="Arial"/>
          <w:sz w:val="20"/>
          <w:szCs w:val="20"/>
        </w:rPr>
        <w:t>Минздравмедпрома</w:t>
      </w:r>
      <w:proofErr w:type="spellEnd"/>
      <w:r w:rsidRPr="005223BA">
        <w:rPr>
          <w:rFonts w:ascii="Arial" w:hAnsi="Arial" w:cs="Arial"/>
          <w:sz w:val="20"/>
          <w:szCs w:val="20"/>
        </w:rPr>
        <w:t xml:space="preserve"> России от 20.08.1996 № 325 "Об утверждении состава и рекомендаций по применению аптечки первой помощи (автомобильной)". Не установлена обязанность дополнительно комплектовать транспортное средство аптечкой для оказания первой помощи работникам, состав которой утвержден приказом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169н.</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 xml:space="preserve">В соответствии с приложением № 1 к приказу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477н, первая помощь оказывается при следующих состояниях: отсутствие сознания, остановка дыхания и кровообращения, наружные кровотечения, инородные тела верхних дыхательных путей, травмы различных областей тела, ожоги, эффекты воздействия высоких температур, теплового излучения, отморожения и другие эффекты воздействия низких температур и отравления.</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 xml:space="preserve">Приложение № 2 к приказу </w:t>
      </w:r>
      <w:proofErr w:type="spellStart"/>
      <w:r w:rsidRPr="005223BA">
        <w:rPr>
          <w:rFonts w:ascii="Arial" w:hAnsi="Arial" w:cs="Arial"/>
          <w:sz w:val="20"/>
          <w:szCs w:val="20"/>
        </w:rPr>
        <w:t>Минздравсоцразвития</w:t>
      </w:r>
      <w:proofErr w:type="spellEnd"/>
      <w:r w:rsidRPr="005223BA">
        <w:rPr>
          <w:rFonts w:ascii="Arial" w:hAnsi="Arial" w:cs="Arial"/>
          <w:sz w:val="20"/>
          <w:szCs w:val="20"/>
        </w:rPr>
        <w:t xml:space="preserve"> России № 477н устанавливает перечень мероприятий по оказанию первой помощи, а именно: 1) мероприятия по оценке обстановки и обеспечению безопасных условий для оказания первой помощи; 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3) определение наличия сознания у пострадавшего; 4) мероприятия по восстановлению проходимости дыхательных путей и определению признаков жизни у пострадавшего; 5) мероприятия по проведению сердечно-легочной реанимации до появления признаков жизни; 6) мероприятия по поддержанию проходимости дыхательных путей; 7) мероприятия по обзорному осмотру пострадавшего и временной остановке наружного кровотечения; 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9) придание пострадавшему оптимального положения тела; 10) контроль состояния пострадавшего (сознание, дыхание, кровообращение) и оказание психологической поддержки; 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Вышеуказанный перечень мероприятий предусматривает равный объем оказания первой помощи для всех категорий участников оказания первой помощи. Однако существуют категории участников оказания первой помощи, которые могут и должны оказывать помощь пострадавшим в большем объеме, например, при воздействии специфических факторов риска, в условиях невозможности своевременного оказания медицинской помощи и др. При этом действующая редакция ст. 31 Федерального закона № 323-ФЗ не предусматривает в рамках полномочий Минздрава России возможность расширения объема первой помощи для участников оказания первой помощи, которые сталкиваются с необходимостью оказания первой помощи в большем объеме.</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В настоящий момент ведется работа над внесением изменений и дополнений в статью 31 Федерального закона от 21.11.2011 № 323-ФЗ "Об основах охраны здоровья граждан в Российской Федерации". Законопроект предусматривает расширение объема первой помощи для заинтересованных категорий участников оказания первой помощи. В перспективе это позволит, в том числе, применять необходимые лекарственные препараты для сохранения жизни и здоровья работников в условиях труднодоступных районов. При этом работниками могут применяться необходимые лекарственные средства, назначенные врачом для личного пользования.</w:t>
      </w:r>
    </w:p>
    <w:p w:rsidR="005223BA" w:rsidRPr="005223BA" w:rsidRDefault="005223BA" w:rsidP="005223BA">
      <w:pPr>
        <w:pStyle w:val="ConsPlusNormal"/>
        <w:spacing w:line="276" w:lineRule="auto"/>
        <w:ind w:firstLine="540"/>
        <w:jc w:val="both"/>
        <w:rPr>
          <w:rFonts w:ascii="Arial" w:hAnsi="Arial" w:cs="Arial"/>
          <w:sz w:val="20"/>
          <w:szCs w:val="20"/>
        </w:rPr>
      </w:pPr>
      <w:r w:rsidRPr="005223BA">
        <w:rPr>
          <w:rFonts w:ascii="Arial" w:hAnsi="Arial" w:cs="Arial"/>
          <w:sz w:val="20"/>
          <w:szCs w:val="20"/>
        </w:rPr>
        <w:t xml:space="preserve">"ГОСТ 12.0.004-2015. Межгосударственный стандарт. Система стандартов безопасности труда. Организация обучения безопасности труда. Общие положения", утвержденный Приказом </w:t>
      </w:r>
      <w:proofErr w:type="spellStart"/>
      <w:r w:rsidRPr="005223BA">
        <w:rPr>
          <w:rFonts w:ascii="Arial" w:hAnsi="Arial" w:cs="Arial"/>
          <w:sz w:val="20"/>
          <w:szCs w:val="20"/>
        </w:rPr>
        <w:t>Росстандарта</w:t>
      </w:r>
      <w:proofErr w:type="spellEnd"/>
      <w:r w:rsidRPr="005223BA">
        <w:rPr>
          <w:rFonts w:ascii="Arial" w:hAnsi="Arial" w:cs="Arial"/>
          <w:sz w:val="20"/>
          <w:szCs w:val="20"/>
        </w:rPr>
        <w:t xml:space="preserve"> от 09.06.2016 № 600, содержит раздел 12 "Обучение безопасности труда в виде специального обучения приемам оказания первой помощи пострадавшим" и приложение "Б" "Программа Б.3 - Примерная программа обучения приемам оказания первой помощи пострадавшим". Эти разделы были разработаны и утверждены без участия Минздрава России, </w:t>
      </w:r>
      <w:proofErr w:type="spellStart"/>
      <w:r w:rsidRPr="005223BA">
        <w:rPr>
          <w:rFonts w:ascii="Arial" w:hAnsi="Arial" w:cs="Arial"/>
          <w:sz w:val="20"/>
          <w:szCs w:val="20"/>
        </w:rPr>
        <w:t>Минобрнауки</w:t>
      </w:r>
      <w:proofErr w:type="spellEnd"/>
      <w:r w:rsidRPr="005223BA">
        <w:rPr>
          <w:rFonts w:ascii="Arial" w:hAnsi="Arial" w:cs="Arial"/>
          <w:sz w:val="20"/>
          <w:szCs w:val="20"/>
        </w:rPr>
        <w:t xml:space="preserve"> России и Минтруда России и по большому числу пунктов не соответствуют действующему российскому законодательству в области первой помощи, а также современным требованиям по оказанию первой помощи. В связи с этим "ГОСТ 12.0.004-2015. Межгосударственный стандарт. Система стандартов безопасности труда. Организация обучения безопасности труда. Общие положения" не может применяться работодателем для разработки локальных правовых актов, регламентирующих обучение правилам оказания первой помощи в организации.</w:t>
      </w:r>
      <w:bookmarkEnd w:id="1"/>
    </w:p>
    <w:p w:rsidR="005223BA" w:rsidRPr="005223BA" w:rsidRDefault="005223BA" w:rsidP="005223BA">
      <w:pPr>
        <w:pStyle w:val="ConsPlusNormal"/>
        <w:spacing w:line="276" w:lineRule="auto"/>
        <w:jc w:val="both"/>
        <w:rPr>
          <w:rFonts w:ascii="Arial" w:hAnsi="Arial" w:cs="Arial"/>
          <w:sz w:val="20"/>
          <w:szCs w:val="20"/>
        </w:rPr>
      </w:pPr>
    </w:p>
    <w:p w:rsidR="005223BA" w:rsidRPr="005223BA" w:rsidRDefault="005223BA" w:rsidP="005223BA">
      <w:pPr>
        <w:pStyle w:val="ConsPlusNormal"/>
        <w:spacing w:line="276" w:lineRule="auto"/>
        <w:jc w:val="right"/>
        <w:rPr>
          <w:rFonts w:ascii="Arial" w:hAnsi="Arial" w:cs="Arial"/>
          <w:sz w:val="20"/>
          <w:szCs w:val="20"/>
        </w:rPr>
      </w:pPr>
      <w:r w:rsidRPr="005223BA">
        <w:rPr>
          <w:rFonts w:ascii="Arial" w:hAnsi="Arial" w:cs="Arial"/>
          <w:sz w:val="20"/>
          <w:szCs w:val="20"/>
        </w:rPr>
        <w:t>Заместитель директора</w:t>
      </w:r>
    </w:p>
    <w:p w:rsidR="005223BA" w:rsidRPr="005223BA" w:rsidRDefault="005223BA" w:rsidP="005223BA">
      <w:pPr>
        <w:pStyle w:val="ConsPlusNormal"/>
        <w:spacing w:line="276" w:lineRule="auto"/>
        <w:jc w:val="right"/>
        <w:rPr>
          <w:rFonts w:ascii="Arial" w:hAnsi="Arial" w:cs="Arial"/>
          <w:sz w:val="20"/>
          <w:szCs w:val="20"/>
        </w:rPr>
      </w:pPr>
      <w:r w:rsidRPr="005223BA">
        <w:rPr>
          <w:rFonts w:ascii="Arial" w:hAnsi="Arial" w:cs="Arial"/>
          <w:sz w:val="20"/>
          <w:szCs w:val="20"/>
        </w:rPr>
        <w:t>Департамента</w:t>
      </w:r>
    </w:p>
    <w:p w:rsidR="005223BA" w:rsidRPr="005223BA" w:rsidRDefault="005223BA" w:rsidP="005223BA">
      <w:pPr>
        <w:pStyle w:val="ConsPlusNormal"/>
        <w:spacing w:line="276" w:lineRule="auto"/>
        <w:jc w:val="right"/>
        <w:rPr>
          <w:rFonts w:ascii="Arial" w:hAnsi="Arial" w:cs="Arial"/>
          <w:sz w:val="20"/>
          <w:szCs w:val="20"/>
        </w:rPr>
      </w:pPr>
      <w:r w:rsidRPr="005223BA">
        <w:rPr>
          <w:rFonts w:ascii="Arial" w:hAnsi="Arial" w:cs="Arial"/>
          <w:sz w:val="20"/>
          <w:szCs w:val="20"/>
        </w:rPr>
        <w:t>Н.С.МАРКАРЯН</w:t>
      </w:r>
      <w:bookmarkStart w:id="2" w:name="_GoBack"/>
      <w:bookmarkEnd w:id="2"/>
    </w:p>
    <w:sectPr w:rsidR="005223BA" w:rsidRPr="005223BA" w:rsidSect="005223BA">
      <w:pgSz w:w="11906" w:h="16838"/>
      <w:pgMar w:top="567"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9"/>
    <w:rsid w:val="00142C9E"/>
    <w:rsid w:val="00271A29"/>
    <w:rsid w:val="00433859"/>
    <w:rsid w:val="0052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CA48F-D6EF-4B65-9C6B-253040C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3385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unhideWhenUsed/>
    <w:rsid w:val="00522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Сергей Огородников</cp:lastModifiedBy>
  <cp:revision>2</cp:revision>
  <dcterms:created xsi:type="dcterms:W3CDTF">2018-10-28T18:38:00Z</dcterms:created>
  <dcterms:modified xsi:type="dcterms:W3CDTF">2018-12-29T05:23:00Z</dcterms:modified>
</cp:coreProperties>
</file>