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6B6EAE">
      <w:pPr>
        <w:ind w:firstLine="426"/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6B6EAE">
      <w:pPr>
        <w:ind w:firstLine="426"/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6B6EAE">
      <w:pPr>
        <w:ind w:firstLine="426"/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410FD7" w:rsidRDefault="00410FD7" w:rsidP="006B6EAE">
      <w:pPr>
        <w:ind w:firstLine="426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ED9622" wp14:editId="64A5908F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</w:t>
      </w:r>
      <w:r w:rsidR="00D12D6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17.01.</w:t>
      </w:r>
      <w:r w:rsidRPr="00B94050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410FD7" w:rsidRPr="00E20DA7" w:rsidRDefault="00410FD7" w:rsidP="006B6EAE">
      <w:pPr>
        <w:ind w:firstLine="426"/>
        <w:rPr>
          <w:sz w:val="28"/>
          <w:szCs w:val="28"/>
        </w:rPr>
      </w:pPr>
    </w:p>
    <w:p w:rsidR="00410FD7" w:rsidRDefault="00410FD7" w:rsidP="006B6EA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Pr="00255C91">
        <w:rPr>
          <w:sz w:val="28"/>
          <w:szCs w:val="28"/>
        </w:rPr>
        <w:t>достижени</w:t>
      </w:r>
      <w:r>
        <w:rPr>
          <w:sz w:val="28"/>
          <w:szCs w:val="28"/>
        </w:rPr>
        <w:t>и</w:t>
      </w:r>
      <w:r w:rsidRPr="00255C91">
        <w:rPr>
          <w:sz w:val="28"/>
          <w:szCs w:val="28"/>
        </w:rPr>
        <w:t xml:space="preserve"> целевых показателей</w:t>
      </w:r>
      <w:r>
        <w:rPr>
          <w:sz w:val="28"/>
          <w:szCs w:val="28"/>
        </w:rPr>
        <w:t xml:space="preserve"> Управления Росреестра</w:t>
      </w:r>
    </w:p>
    <w:p w:rsidR="00410FD7" w:rsidRPr="00255C91" w:rsidRDefault="00410FD7" w:rsidP="006B6EA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говорили</w:t>
      </w:r>
      <w:proofErr w:type="gramEnd"/>
      <w:r>
        <w:rPr>
          <w:sz w:val="28"/>
          <w:szCs w:val="28"/>
        </w:rPr>
        <w:t xml:space="preserve"> на совещании в правительстве региона</w:t>
      </w:r>
    </w:p>
    <w:p w:rsidR="00410FD7" w:rsidRPr="00255C91" w:rsidRDefault="00410FD7" w:rsidP="006B6EAE">
      <w:pPr>
        <w:ind w:firstLine="426"/>
        <w:jc w:val="center"/>
        <w:rPr>
          <w:sz w:val="28"/>
          <w:szCs w:val="28"/>
        </w:rPr>
      </w:pPr>
    </w:p>
    <w:p w:rsidR="00410FD7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255C91">
        <w:rPr>
          <w:rFonts w:ascii="Times New Roman" w:hAnsi="Times New Roman"/>
          <w:b/>
          <w:sz w:val="28"/>
          <w:szCs w:val="28"/>
        </w:rPr>
        <w:t xml:space="preserve">правление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/>
          <w:b/>
          <w:sz w:val="28"/>
          <w:szCs w:val="28"/>
        </w:rPr>
        <w:t xml:space="preserve">и филиал Федеральной кадастровой палаты </w:t>
      </w:r>
      <w:r w:rsidRPr="00255C91">
        <w:rPr>
          <w:rFonts w:ascii="Times New Roman" w:hAnsi="Times New Roman"/>
          <w:b/>
          <w:sz w:val="28"/>
          <w:szCs w:val="28"/>
        </w:rPr>
        <w:t>принял</w:t>
      </w:r>
      <w:r>
        <w:rPr>
          <w:rFonts w:ascii="Times New Roman" w:hAnsi="Times New Roman"/>
          <w:b/>
          <w:sz w:val="28"/>
          <w:szCs w:val="28"/>
        </w:rPr>
        <w:t>и</w:t>
      </w:r>
      <w:r w:rsidRPr="00255C91">
        <w:rPr>
          <w:rFonts w:ascii="Times New Roman" w:hAnsi="Times New Roman"/>
          <w:b/>
          <w:sz w:val="28"/>
          <w:szCs w:val="28"/>
        </w:rPr>
        <w:t xml:space="preserve"> участие в совещании по вопросу достижения показателей целев</w:t>
      </w:r>
      <w:r>
        <w:rPr>
          <w:rFonts w:ascii="Times New Roman" w:hAnsi="Times New Roman"/>
          <w:b/>
          <w:sz w:val="28"/>
          <w:szCs w:val="28"/>
        </w:rPr>
        <w:t>ых</w:t>
      </w:r>
      <w:r w:rsidRPr="00255C91">
        <w:rPr>
          <w:rFonts w:ascii="Times New Roman" w:hAnsi="Times New Roman"/>
          <w:b/>
          <w:sz w:val="28"/>
          <w:szCs w:val="28"/>
        </w:rPr>
        <w:t xml:space="preserve"> модел</w:t>
      </w:r>
      <w:r>
        <w:rPr>
          <w:rFonts w:ascii="Times New Roman" w:hAnsi="Times New Roman"/>
          <w:b/>
          <w:sz w:val="28"/>
          <w:szCs w:val="28"/>
        </w:rPr>
        <w:t>ей.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7DFC">
        <w:rPr>
          <w:rFonts w:ascii="Times New Roman" w:hAnsi="Times New Roman"/>
          <w:sz w:val="28"/>
          <w:szCs w:val="28"/>
        </w:rPr>
        <w:t xml:space="preserve"> правительстве региона </w:t>
      </w:r>
      <w:r>
        <w:rPr>
          <w:rFonts w:ascii="Times New Roman" w:hAnsi="Times New Roman"/>
          <w:sz w:val="28"/>
          <w:szCs w:val="28"/>
        </w:rPr>
        <w:t xml:space="preserve">состоялось </w:t>
      </w:r>
      <w:r w:rsidRPr="00477DFC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е</w:t>
      </w:r>
      <w:r w:rsidRPr="00477DFC">
        <w:rPr>
          <w:rFonts w:ascii="Times New Roman" w:hAnsi="Times New Roman"/>
          <w:sz w:val="28"/>
          <w:szCs w:val="28"/>
        </w:rPr>
        <w:t xml:space="preserve"> под председательством заместителя губернатора Челябинской области </w:t>
      </w:r>
      <w:r w:rsidRPr="00477DFC">
        <w:rPr>
          <w:rFonts w:ascii="Times New Roman" w:hAnsi="Times New Roman"/>
          <w:b/>
          <w:sz w:val="28"/>
          <w:szCs w:val="28"/>
        </w:rPr>
        <w:t>Егора Ковальчука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7DF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улучшению </w:t>
      </w:r>
      <w:proofErr w:type="spellStart"/>
      <w:r>
        <w:rPr>
          <w:rFonts w:ascii="Times New Roman" w:hAnsi="Times New Roman"/>
          <w:sz w:val="28"/>
          <w:szCs w:val="28"/>
        </w:rPr>
        <w:t>инвестклимата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и работе с целевыми моделями, разработанными в целях</w:t>
      </w:r>
      <w:r w:rsidRPr="00477DFC">
        <w:rPr>
          <w:rFonts w:ascii="Times New Roman" w:hAnsi="Times New Roman"/>
          <w:sz w:val="28"/>
          <w:szCs w:val="28"/>
        </w:rPr>
        <w:t xml:space="preserve"> упрощени</w:t>
      </w:r>
      <w:r>
        <w:rPr>
          <w:rFonts w:ascii="Times New Roman" w:hAnsi="Times New Roman"/>
          <w:sz w:val="28"/>
          <w:szCs w:val="28"/>
        </w:rPr>
        <w:t>я</w:t>
      </w:r>
      <w:r w:rsidRPr="00477DFC">
        <w:rPr>
          <w:rFonts w:ascii="Times New Roman" w:hAnsi="Times New Roman"/>
          <w:sz w:val="28"/>
          <w:szCs w:val="28"/>
        </w:rPr>
        <w:t xml:space="preserve"> процедур ведения бизнеса.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77DFC">
        <w:rPr>
          <w:rFonts w:ascii="Times New Roman" w:hAnsi="Times New Roman"/>
          <w:sz w:val="28"/>
          <w:szCs w:val="28"/>
        </w:rPr>
        <w:t>обсужд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CA179B">
        <w:rPr>
          <w:rFonts w:ascii="Times New Roman" w:hAnsi="Times New Roman"/>
          <w:sz w:val="28"/>
          <w:szCs w:val="28"/>
        </w:rPr>
        <w:t xml:space="preserve">достижений индикативных показателей в 2019 году и перспектив реализации в дальнейшем двух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приняли участие руководитель Управления Росреестра по Челябинской области </w:t>
      </w:r>
      <w:r w:rsidRPr="00CA179B">
        <w:rPr>
          <w:rFonts w:ascii="Times New Roman" w:hAnsi="Times New Roman"/>
          <w:b/>
          <w:sz w:val="28"/>
          <w:szCs w:val="28"/>
        </w:rPr>
        <w:t>Ольга Смирных</w:t>
      </w:r>
      <w:r w:rsidRPr="00CA179B">
        <w:rPr>
          <w:rFonts w:ascii="Times New Roman" w:hAnsi="Times New Roman"/>
          <w:sz w:val="28"/>
          <w:szCs w:val="28"/>
        </w:rPr>
        <w:t xml:space="preserve"> и директор филиала ФГБУ «ФКП </w:t>
      </w:r>
      <w:proofErr w:type="spellStart"/>
      <w:r w:rsidRPr="00CA179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A179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A179B">
        <w:rPr>
          <w:rFonts w:ascii="Times New Roman" w:hAnsi="Times New Roman"/>
          <w:b/>
          <w:sz w:val="28"/>
          <w:szCs w:val="28"/>
        </w:rPr>
        <w:t>Альфия</w:t>
      </w:r>
      <w:proofErr w:type="spellEnd"/>
      <w:r w:rsidRPr="00CA17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179B">
        <w:rPr>
          <w:rFonts w:ascii="Times New Roman" w:hAnsi="Times New Roman"/>
          <w:b/>
          <w:sz w:val="28"/>
          <w:szCs w:val="28"/>
        </w:rPr>
        <w:t>Янбердина</w:t>
      </w:r>
      <w:proofErr w:type="spellEnd"/>
      <w:r w:rsidRPr="00CA179B">
        <w:rPr>
          <w:rFonts w:ascii="Times New Roman" w:hAnsi="Times New Roman"/>
          <w:sz w:val="28"/>
          <w:szCs w:val="28"/>
        </w:rPr>
        <w:t xml:space="preserve">. 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Две данные модели находятся в зоне ответственности Управления Росреестра и Кадастровой палаты и входят в число 12 других, утвержденных по поручению Президента РФ распоряжением Правительства России (от 31.01.2017 № 147-р) в целях создания благоприятных условий для ведения предпринимательской деятельности и повышения инвестиционной привлекательности регионов РФ.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 xml:space="preserve">В своем выступлении руководитель Управления </w:t>
      </w:r>
      <w:r w:rsidRPr="00CA179B">
        <w:rPr>
          <w:rFonts w:ascii="Times New Roman" w:hAnsi="Times New Roman"/>
          <w:b/>
          <w:sz w:val="28"/>
          <w:szCs w:val="28"/>
        </w:rPr>
        <w:t xml:space="preserve">Ольга Смирных </w:t>
      </w:r>
      <w:r w:rsidRPr="00CA179B">
        <w:rPr>
          <w:rFonts w:ascii="Times New Roman" w:hAnsi="Times New Roman"/>
          <w:sz w:val="28"/>
          <w:szCs w:val="28"/>
        </w:rPr>
        <w:t xml:space="preserve">отметила, что на сегодняшний день все контрольные показатели целевой модели «Регистрация права собственности на земельные участки и объекты недвижимого имущества» реализованы. 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Так, например, целевое значение показателя «</w:t>
      </w:r>
      <w:r w:rsidRPr="00CA179B">
        <w:rPr>
          <w:rFonts w:ascii="Times New Roman" w:hAnsi="Times New Roman"/>
          <w:i/>
          <w:sz w:val="28"/>
          <w:szCs w:val="28"/>
        </w:rPr>
        <w:t xml:space="preserve">Доля заявлений о государственной регистрации прав, рассмотрение которых приостановлено государственным регистратором» </w:t>
      </w:r>
      <w:r w:rsidRPr="00CA179B">
        <w:rPr>
          <w:rFonts w:ascii="Times New Roman" w:hAnsi="Times New Roman"/>
          <w:sz w:val="28"/>
          <w:szCs w:val="28"/>
        </w:rPr>
        <w:t>к 31.12.2019 должно составлять не более 5,5%. В Челябинской области в результате постоянно проводимой Управлением Росреестра работы этот показатель на конец года составил 0,95 %, что ниже установленного в 6 раз.</w:t>
      </w:r>
    </w:p>
    <w:p w:rsidR="00410FD7" w:rsidRPr="00CA179B" w:rsidRDefault="00410FD7" w:rsidP="006B6EAE">
      <w:pPr>
        <w:ind w:firstLine="426"/>
        <w:jc w:val="both"/>
        <w:rPr>
          <w:sz w:val="28"/>
          <w:szCs w:val="28"/>
        </w:rPr>
      </w:pPr>
      <w:r w:rsidRPr="00CA179B">
        <w:rPr>
          <w:sz w:val="28"/>
          <w:szCs w:val="28"/>
        </w:rPr>
        <w:t>Кроме того, Управлением Росреестра снижен</w:t>
      </w:r>
      <w:r w:rsidRPr="00CA179B">
        <w:rPr>
          <w:i/>
          <w:sz w:val="28"/>
          <w:szCs w:val="28"/>
        </w:rPr>
        <w:t xml:space="preserve"> средний фактический срок регистрации права собственности и средний фактический срок регистрации прав по заявлениям, представленным через МФЦ</w:t>
      </w:r>
      <w:r w:rsidRPr="00CA179B">
        <w:rPr>
          <w:sz w:val="28"/>
          <w:szCs w:val="28"/>
        </w:rPr>
        <w:t>. Целевые значения этих показателей к 31.12.2019 – 7 и 9 дней соответственно, значение показателей, которое достигнуто Управлением на эту дату, - 2 и 3 дня.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Положительную динамику и рост показателей дал целый комплекс мероприятий, проводимых совместно с региональным правительством, иными органами государственной власти (ОГВ) и органами местного самоуправления (ОМС). Тем не менее, Управление не останавливается на достигнутом, сосредоточив свою деятельность на минимизации и так небольшого количества приостановок и отказов, которые чаще всего имеют место из-за предоставления на госрегистрацию некачественно подготовленных документов. Для этого в интересах заявителей Управление осуществляет постоянное взаимодействие с профессиональными участниками рынка недвижимости.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lastRenderedPageBreak/>
        <w:t xml:space="preserve">В достижении ряда показателей второй из вышеназванных целевых моделей </w:t>
      </w:r>
      <w:r w:rsidRPr="00CA179B">
        <w:rPr>
          <w:rFonts w:ascii="Times New Roman" w:hAnsi="Times New Roman"/>
          <w:color w:val="auto"/>
          <w:sz w:val="28"/>
          <w:szCs w:val="28"/>
        </w:rPr>
        <w:t xml:space="preserve">- «Постановка на кадастровый учет земельных участков и объектов недвижимого имущества» - </w:t>
      </w:r>
      <w:r w:rsidRPr="00CA179B">
        <w:rPr>
          <w:rFonts w:ascii="Times New Roman" w:hAnsi="Times New Roman"/>
          <w:sz w:val="28"/>
          <w:szCs w:val="28"/>
        </w:rPr>
        <w:t xml:space="preserve">принимают непосредственное участие и органы государственной власти и местного самоуправления. </w:t>
      </w:r>
      <w:r w:rsidRPr="00CA179B">
        <w:rPr>
          <w:rFonts w:ascii="Times New Roman" w:hAnsi="Times New Roman"/>
          <w:color w:val="auto"/>
          <w:sz w:val="28"/>
          <w:szCs w:val="28"/>
        </w:rPr>
        <w:t xml:space="preserve"> На конец 2019 года достигнуты целевые значения по 17 из 23 показателей.</w:t>
      </w:r>
      <w:r w:rsidRPr="00CA179B">
        <w:rPr>
          <w:rFonts w:ascii="Times New Roman" w:hAnsi="Times New Roman"/>
          <w:sz w:val="28"/>
          <w:szCs w:val="28"/>
        </w:rPr>
        <w:t xml:space="preserve"> Однако в течение 2019 года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CA179B">
        <w:rPr>
          <w:rFonts w:ascii="Times New Roman" w:hAnsi="Times New Roman"/>
          <w:sz w:val="28"/>
          <w:szCs w:val="28"/>
        </w:rPr>
        <w:t xml:space="preserve">отмечен высокий темп роста ряда из них, что свидетельствует о постепенном налаживании взаимодействия Управления с ОМС и ОГВ. Так, например, показатель по </w:t>
      </w:r>
      <w:r w:rsidRPr="00CA179B">
        <w:rPr>
          <w:rFonts w:ascii="Times New Roman" w:hAnsi="Times New Roman"/>
          <w:color w:val="auto"/>
          <w:sz w:val="28"/>
          <w:szCs w:val="28"/>
        </w:rPr>
        <w:t xml:space="preserve">предоставлению электронных услуг по кадастровому учету органам государственной власти и муниципалитетам с начала прошлого года вырос на 19,8 % и составил 75,5 % при целевом значении в 80 %. 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CA179B">
        <w:rPr>
          <w:rFonts w:ascii="Times New Roman" w:hAnsi="Times New Roman"/>
          <w:color w:val="auto"/>
          <w:sz w:val="28"/>
          <w:szCs w:val="28"/>
        </w:rPr>
        <w:t xml:space="preserve">В учётно-регистрационном органе есть понимание, что во избежание риска </w:t>
      </w:r>
      <w:proofErr w:type="spellStart"/>
      <w:r w:rsidRPr="00CA179B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Pr="00CA179B">
        <w:rPr>
          <w:rFonts w:ascii="Times New Roman" w:hAnsi="Times New Roman"/>
          <w:color w:val="auto"/>
          <w:sz w:val="28"/>
          <w:szCs w:val="28"/>
        </w:rPr>
        <w:t xml:space="preserve"> показателей и повышения контрольных результатов по наполнению Единого государственного реестра недвижимости (ЕГРН) сведениями о границах населенных пунктов и территориальных зон в 2020 году необходимо усилить проводимую работу. Это справедливо и для органов местного самоуправления, которые должны своевременно</w:t>
      </w:r>
      <w:bookmarkStart w:id="0" w:name="_GoBack"/>
      <w:bookmarkEnd w:id="0"/>
      <w:r w:rsidRPr="00CA179B">
        <w:rPr>
          <w:rFonts w:ascii="Times New Roman" w:hAnsi="Times New Roman"/>
          <w:color w:val="auto"/>
          <w:sz w:val="28"/>
          <w:szCs w:val="28"/>
        </w:rPr>
        <w:t xml:space="preserve"> заключить контракты на подготовку документов для внесения в ЕГРН сведений об указанных выше границах. Кадастровая палата, в свою очередь, принимает все необходимые меры для рассмотрения представленных документов в сокращенный срок.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Учитывая, что в совещании в правительстве Челябинской области приняли участие первые лица министерств и ведомств региона, ответственные за реализацию соответствующих целевых моделей, это позволило всесторонне рассмотреть имеющиеся на данный момент проблемы и обсудить возможность оперативного решения практических вопросов, от которых зависит достижение целевых показателей.</w:t>
      </w:r>
    </w:p>
    <w:p w:rsidR="00410FD7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bCs/>
          <w:sz w:val="28"/>
          <w:szCs w:val="28"/>
        </w:rPr>
      </w:pPr>
    </w:p>
    <w:p w:rsidR="00410FD7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bCs/>
          <w:sz w:val="28"/>
          <w:szCs w:val="28"/>
        </w:rPr>
      </w:pP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bCs/>
          <w:sz w:val="28"/>
          <w:szCs w:val="28"/>
        </w:rPr>
      </w:pPr>
      <w:r w:rsidRPr="00410FD7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инвестклимат</w:t>
      </w:r>
      <w:proofErr w:type="spellEnd"/>
    </w:p>
    <w:p w:rsidR="00410FD7" w:rsidRDefault="00410FD7" w:rsidP="006B6EAE">
      <w:pPr>
        <w:ind w:firstLine="426"/>
        <w:jc w:val="both"/>
        <w:rPr>
          <w:bCs/>
          <w:sz w:val="28"/>
          <w:szCs w:val="28"/>
        </w:rPr>
      </w:pPr>
    </w:p>
    <w:p w:rsidR="0065215C" w:rsidRDefault="0065215C" w:rsidP="006B6EAE">
      <w:pPr>
        <w:ind w:firstLine="426"/>
        <w:jc w:val="right"/>
        <w:rPr>
          <w:bCs/>
          <w:sz w:val="28"/>
          <w:szCs w:val="28"/>
        </w:rPr>
      </w:pPr>
    </w:p>
    <w:p w:rsidR="001439BA" w:rsidRDefault="001439BA" w:rsidP="006B6EAE">
      <w:pPr>
        <w:ind w:firstLine="426"/>
        <w:jc w:val="both"/>
        <w:rPr>
          <w:bCs/>
          <w:sz w:val="28"/>
          <w:szCs w:val="28"/>
        </w:rPr>
      </w:pPr>
    </w:p>
    <w:p w:rsidR="00DF357A" w:rsidRPr="007B16E8" w:rsidRDefault="00DF357A" w:rsidP="006B6EAE">
      <w:pPr>
        <w:ind w:left="4253" w:firstLine="426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6B6EAE">
      <w:pPr>
        <w:ind w:left="4253" w:firstLine="426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6B6EAE">
      <w:pPr>
        <w:ind w:left="4956" w:firstLine="426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6B6EAE">
      <w:pgSz w:w="12240" w:h="15840"/>
      <w:pgMar w:top="284" w:right="33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84AD7"/>
    <w:rsid w:val="00084C62"/>
    <w:rsid w:val="00086AA9"/>
    <w:rsid w:val="000A17B6"/>
    <w:rsid w:val="000B2EB5"/>
    <w:rsid w:val="000C2FA6"/>
    <w:rsid w:val="000C52DA"/>
    <w:rsid w:val="000D07A0"/>
    <w:rsid w:val="000F415C"/>
    <w:rsid w:val="00110357"/>
    <w:rsid w:val="001229CA"/>
    <w:rsid w:val="001238CE"/>
    <w:rsid w:val="00133E14"/>
    <w:rsid w:val="001439BA"/>
    <w:rsid w:val="001758A7"/>
    <w:rsid w:val="001948F4"/>
    <w:rsid w:val="00194DF5"/>
    <w:rsid w:val="001F0810"/>
    <w:rsid w:val="00207273"/>
    <w:rsid w:val="0022250D"/>
    <w:rsid w:val="0024003A"/>
    <w:rsid w:val="00241AEA"/>
    <w:rsid w:val="00271CFB"/>
    <w:rsid w:val="00285C91"/>
    <w:rsid w:val="00295C13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B1FEB"/>
    <w:rsid w:val="003C1F08"/>
    <w:rsid w:val="003D60C9"/>
    <w:rsid w:val="003F5809"/>
    <w:rsid w:val="003F606A"/>
    <w:rsid w:val="003F64AD"/>
    <w:rsid w:val="00410FD7"/>
    <w:rsid w:val="00417865"/>
    <w:rsid w:val="00417BA2"/>
    <w:rsid w:val="00457E9F"/>
    <w:rsid w:val="00477DFC"/>
    <w:rsid w:val="00495658"/>
    <w:rsid w:val="004A6F91"/>
    <w:rsid w:val="004B2293"/>
    <w:rsid w:val="004C727C"/>
    <w:rsid w:val="004D4097"/>
    <w:rsid w:val="005015AC"/>
    <w:rsid w:val="0051036D"/>
    <w:rsid w:val="005301D8"/>
    <w:rsid w:val="00536E05"/>
    <w:rsid w:val="00586FBD"/>
    <w:rsid w:val="005B74EE"/>
    <w:rsid w:val="005C381E"/>
    <w:rsid w:val="005D14ED"/>
    <w:rsid w:val="005D1F9E"/>
    <w:rsid w:val="005D2CA6"/>
    <w:rsid w:val="005D3EB4"/>
    <w:rsid w:val="005E5F86"/>
    <w:rsid w:val="005F3ECA"/>
    <w:rsid w:val="005F412C"/>
    <w:rsid w:val="005F4C15"/>
    <w:rsid w:val="00604EE4"/>
    <w:rsid w:val="00633ED9"/>
    <w:rsid w:val="0065215C"/>
    <w:rsid w:val="00666D57"/>
    <w:rsid w:val="00670372"/>
    <w:rsid w:val="0068037F"/>
    <w:rsid w:val="00695D19"/>
    <w:rsid w:val="00696E77"/>
    <w:rsid w:val="006A00E8"/>
    <w:rsid w:val="006B6EAE"/>
    <w:rsid w:val="006B7D2F"/>
    <w:rsid w:val="006C34F1"/>
    <w:rsid w:val="006D2397"/>
    <w:rsid w:val="006D5327"/>
    <w:rsid w:val="006D5D5D"/>
    <w:rsid w:val="00703A6B"/>
    <w:rsid w:val="00715C3E"/>
    <w:rsid w:val="00744494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802D8D"/>
    <w:rsid w:val="00812CD5"/>
    <w:rsid w:val="00825337"/>
    <w:rsid w:val="00836FA3"/>
    <w:rsid w:val="0087122E"/>
    <w:rsid w:val="00876D42"/>
    <w:rsid w:val="008C3B78"/>
    <w:rsid w:val="008D229B"/>
    <w:rsid w:val="008F540B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9E0B0E"/>
    <w:rsid w:val="00A246CA"/>
    <w:rsid w:val="00A30624"/>
    <w:rsid w:val="00A313D4"/>
    <w:rsid w:val="00A37A92"/>
    <w:rsid w:val="00A60B37"/>
    <w:rsid w:val="00A811C9"/>
    <w:rsid w:val="00A94425"/>
    <w:rsid w:val="00AA492F"/>
    <w:rsid w:val="00AB20EF"/>
    <w:rsid w:val="00AF1DB2"/>
    <w:rsid w:val="00AF3680"/>
    <w:rsid w:val="00B5260A"/>
    <w:rsid w:val="00B713C2"/>
    <w:rsid w:val="00B7240D"/>
    <w:rsid w:val="00B84F08"/>
    <w:rsid w:val="00B85F25"/>
    <w:rsid w:val="00B94050"/>
    <w:rsid w:val="00BD29B7"/>
    <w:rsid w:val="00BD7D43"/>
    <w:rsid w:val="00BE5054"/>
    <w:rsid w:val="00BF797E"/>
    <w:rsid w:val="00C058C6"/>
    <w:rsid w:val="00C125A0"/>
    <w:rsid w:val="00C30583"/>
    <w:rsid w:val="00C534A3"/>
    <w:rsid w:val="00C74C67"/>
    <w:rsid w:val="00C7615D"/>
    <w:rsid w:val="00C828B2"/>
    <w:rsid w:val="00CC0638"/>
    <w:rsid w:val="00CD67DC"/>
    <w:rsid w:val="00CF02F1"/>
    <w:rsid w:val="00CF75DC"/>
    <w:rsid w:val="00D032A6"/>
    <w:rsid w:val="00D12D6B"/>
    <w:rsid w:val="00D37489"/>
    <w:rsid w:val="00D4622A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6758E"/>
    <w:rsid w:val="00E800EA"/>
    <w:rsid w:val="00E8011B"/>
    <w:rsid w:val="00E96017"/>
    <w:rsid w:val="00EA0DA7"/>
    <w:rsid w:val="00EC7EDD"/>
    <w:rsid w:val="00EE533A"/>
    <w:rsid w:val="00F01AD0"/>
    <w:rsid w:val="00F14F46"/>
    <w:rsid w:val="00F254C1"/>
    <w:rsid w:val="00F374FD"/>
    <w:rsid w:val="00F4395E"/>
    <w:rsid w:val="00F50688"/>
    <w:rsid w:val="00FA4204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68</cp:revision>
  <cp:lastPrinted>2020-01-15T09:42:00Z</cp:lastPrinted>
  <dcterms:created xsi:type="dcterms:W3CDTF">2019-01-11T07:50:00Z</dcterms:created>
  <dcterms:modified xsi:type="dcterms:W3CDTF">2020-01-27T12:03:00Z</dcterms:modified>
</cp:coreProperties>
</file>